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1256E" w14:textId="78FAE3FA" w:rsidR="00933981" w:rsidRDefault="002925FF" w:rsidP="00933981">
      <w:pPr>
        <w:spacing w:before="100" w:beforeAutospacing="1" w:after="100" w:afterAutospacing="1"/>
      </w:pPr>
      <w:r>
        <w:rPr>
          <w:sz w:val="24"/>
          <w:szCs w:val="24"/>
        </w:rPr>
        <w:t>T</w:t>
      </w:r>
      <w:r w:rsidR="00933981">
        <w:rPr>
          <w:sz w:val="24"/>
          <w:szCs w:val="24"/>
        </w:rPr>
        <w:t>he next round of the Selly Oak Neighbourhood Network Scheme small community grants programme for neighbourhood and community organisations.</w:t>
      </w:r>
    </w:p>
    <w:p w14:paraId="040DC1A9" w14:textId="463B9030" w:rsidR="00933981" w:rsidRDefault="00933981" w:rsidP="00933981">
      <w:pPr>
        <w:spacing w:before="100" w:beforeAutospacing="1" w:after="100" w:afterAutospacing="1"/>
      </w:pPr>
      <w:r>
        <w:rPr>
          <w:b/>
          <w:bCs/>
          <w:sz w:val="24"/>
          <w:szCs w:val="24"/>
        </w:rPr>
        <w:t>Neighbourhood Network Schemes (NNS)</w:t>
      </w:r>
      <w:r>
        <w:rPr>
          <w:sz w:val="24"/>
          <w:szCs w:val="24"/>
        </w:rPr>
        <w:t xml:space="preserve"> are about intervention and prevention activities and programmes enabling older citizens (50yrs plus) to lead healthy, happy, independent lives within their own homes and neighbourhoods as part of the Adult Social Care and Health Prevention First Vision.  The grant scheme is generally  to increase the number of older people who are p</w:t>
      </w:r>
      <w:bookmarkStart w:id="0" w:name="_GoBack"/>
      <w:bookmarkEnd w:id="0"/>
      <w:r>
        <w:rPr>
          <w:sz w:val="24"/>
          <w:szCs w:val="24"/>
        </w:rPr>
        <w:t>articipating in community activities in their neighbourhood and in doing so either prevent or reduce social isolation and loneliness – more specifically there are key priorities for Selly Oak Constituency  which are outlined below.</w:t>
      </w:r>
    </w:p>
    <w:p w14:paraId="74E0B483" w14:textId="7B99677E" w:rsidR="00933981" w:rsidRDefault="00933981" w:rsidP="00933981">
      <w:pPr>
        <w:spacing w:before="100" w:beforeAutospacing="1" w:after="100" w:afterAutospacing="1"/>
      </w:pPr>
      <w:r>
        <w:rPr>
          <w:sz w:val="24"/>
          <w:szCs w:val="24"/>
        </w:rPr>
        <w:t xml:space="preserve">It covers the following wards – </w:t>
      </w:r>
      <w:proofErr w:type="spellStart"/>
      <w:r>
        <w:rPr>
          <w:b/>
          <w:bCs/>
          <w:sz w:val="24"/>
          <w:szCs w:val="24"/>
        </w:rPr>
        <w:t>Bournbrook</w:t>
      </w:r>
      <w:proofErr w:type="spellEnd"/>
      <w:r>
        <w:rPr>
          <w:b/>
          <w:bCs/>
          <w:sz w:val="24"/>
          <w:szCs w:val="24"/>
        </w:rPr>
        <w:t xml:space="preserve"> and Selly Park, Stirchley, Bournville and Cotteridge, </w:t>
      </w:r>
      <w:proofErr w:type="spellStart"/>
      <w:r>
        <w:rPr>
          <w:b/>
          <w:bCs/>
          <w:sz w:val="24"/>
          <w:szCs w:val="24"/>
        </w:rPr>
        <w:t>Billesley</w:t>
      </w:r>
      <w:proofErr w:type="spellEnd"/>
      <w:r>
        <w:rPr>
          <w:b/>
          <w:bCs/>
          <w:sz w:val="24"/>
          <w:szCs w:val="24"/>
        </w:rPr>
        <w:t xml:space="preserve">, </w:t>
      </w:r>
      <w:proofErr w:type="spellStart"/>
      <w:r>
        <w:rPr>
          <w:b/>
          <w:bCs/>
          <w:sz w:val="24"/>
          <w:szCs w:val="24"/>
        </w:rPr>
        <w:t>Highters</w:t>
      </w:r>
      <w:proofErr w:type="spellEnd"/>
      <w:r>
        <w:rPr>
          <w:b/>
          <w:bCs/>
          <w:sz w:val="24"/>
          <w:szCs w:val="24"/>
        </w:rPr>
        <w:t xml:space="preserve"> Heath, Druids Heath and </w:t>
      </w:r>
      <w:proofErr w:type="spellStart"/>
      <w:r>
        <w:rPr>
          <w:b/>
          <w:bCs/>
          <w:sz w:val="24"/>
          <w:szCs w:val="24"/>
        </w:rPr>
        <w:t>Moneyhull</w:t>
      </w:r>
      <w:proofErr w:type="spellEnd"/>
      <w:r>
        <w:rPr>
          <w:b/>
          <w:bCs/>
          <w:sz w:val="24"/>
          <w:szCs w:val="24"/>
        </w:rPr>
        <w:t xml:space="preserve">, </w:t>
      </w:r>
      <w:proofErr w:type="spellStart"/>
      <w:r>
        <w:rPr>
          <w:b/>
          <w:bCs/>
          <w:sz w:val="24"/>
          <w:szCs w:val="24"/>
        </w:rPr>
        <w:t>Brandwood</w:t>
      </w:r>
      <w:proofErr w:type="spellEnd"/>
      <w:r>
        <w:rPr>
          <w:b/>
          <w:bCs/>
          <w:sz w:val="24"/>
          <w:szCs w:val="24"/>
        </w:rPr>
        <w:t xml:space="preserve"> and Kings Heath and parts of </w:t>
      </w:r>
      <w:proofErr w:type="spellStart"/>
      <w:r>
        <w:rPr>
          <w:b/>
          <w:bCs/>
          <w:sz w:val="24"/>
          <w:szCs w:val="24"/>
        </w:rPr>
        <w:t>Weoley</w:t>
      </w:r>
      <w:proofErr w:type="spellEnd"/>
      <w:r>
        <w:rPr>
          <w:b/>
          <w:bCs/>
          <w:sz w:val="24"/>
          <w:szCs w:val="24"/>
        </w:rPr>
        <w:t xml:space="preserve"> and Selly Oak.</w:t>
      </w:r>
    </w:p>
    <w:tbl>
      <w:tblPr>
        <w:tblStyle w:val="TableGrid"/>
        <w:tblW w:w="0" w:type="auto"/>
        <w:tblLayout w:type="fixed"/>
        <w:tblLook w:val="04A0" w:firstRow="1" w:lastRow="0" w:firstColumn="1" w:lastColumn="0" w:noHBand="0" w:noVBand="1"/>
      </w:tblPr>
      <w:tblGrid>
        <w:gridCol w:w="4508"/>
        <w:gridCol w:w="4508"/>
      </w:tblGrid>
      <w:tr w:rsidR="00933981" w14:paraId="377AEF94" w14:textId="77777777" w:rsidTr="00204E11">
        <w:tc>
          <w:tcPr>
            <w:tcW w:w="4508" w:type="dxa"/>
          </w:tcPr>
          <w:p w14:paraId="4B4E76A8" w14:textId="1690E4A5" w:rsidR="00933981" w:rsidRDefault="00933981" w:rsidP="00933981">
            <w:pPr>
              <w:spacing w:before="100" w:beforeAutospacing="1" w:after="100" w:afterAutospacing="1"/>
              <w:rPr>
                <w:b/>
                <w:bCs/>
                <w:sz w:val="24"/>
                <w:szCs w:val="24"/>
              </w:rPr>
            </w:pPr>
            <w:r>
              <w:rPr>
                <w:b/>
                <w:bCs/>
                <w:sz w:val="24"/>
                <w:szCs w:val="24"/>
              </w:rPr>
              <w:t>Key Outcomes and Priorities for Funding – General NNS          </w:t>
            </w:r>
          </w:p>
        </w:tc>
        <w:tc>
          <w:tcPr>
            <w:tcW w:w="4508" w:type="dxa"/>
          </w:tcPr>
          <w:p w14:paraId="1C2AF80E" w14:textId="64A94F6D" w:rsidR="00933981" w:rsidRPr="00933981" w:rsidRDefault="00933981" w:rsidP="00933981">
            <w:pPr>
              <w:spacing w:before="100" w:beforeAutospacing="1" w:after="100" w:afterAutospacing="1"/>
            </w:pPr>
            <w:r>
              <w:rPr>
                <w:b/>
                <w:bCs/>
                <w:sz w:val="24"/>
                <w:szCs w:val="24"/>
              </w:rPr>
              <w:t>Selly Oak Constituency – Gap Analysis Priorities</w:t>
            </w:r>
          </w:p>
        </w:tc>
      </w:tr>
      <w:tr w:rsidR="00933981" w14:paraId="75A64038" w14:textId="77777777" w:rsidTr="00204E11">
        <w:tc>
          <w:tcPr>
            <w:tcW w:w="4508" w:type="dxa"/>
          </w:tcPr>
          <w:p w14:paraId="0245C6FA" w14:textId="14878D1E" w:rsidR="00933981" w:rsidRDefault="00933981" w:rsidP="00933981">
            <w:pPr>
              <w:spacing w:before="100" w:beforeAutospacing="1" w:after="100" w:afterAutospacing="1"/>
              <w:rPr>
                <w:b/>
                <w:bCs/>
                <w:sz w:val="24"/>
                <w:szCs w:val="24"/>
              </w:rPr>
            </w:pPr>
            <w:r>
              <w:rPr>
                <w:sz w:val="24"/>
                <w:szCs w:val="24"/>
              </w:rPr>
              <w:t xml:space="preserve">Increased Social Participation </w:t>
            </w:r>
            <w:r>
              <w:rPr>
                <w:b/>
                <w:bCs/>
                <w:color w:val="FF0000"/>
                <w:sz w:val="24"/>
                <w:szCs w:val="24"/>
              </w:rPr>
              <w:t xml:space="preserve">(only priority </w:t>
            </w:r>
            <w:proofErr w:type="gramStart"/>
            <w:r>
              <w:rPr>
                <w:b/>
                <w:bCs/>
                <w:color w:val="FF0000"/>
                <w:sz w:val="24"/>
                <w:szCs w:val="24"/>
              </w:rPr>
              <w:t>areas)   </w:t>
            </w:r>
            <w:proofErr w:type="gramEnd"/>
            <w:r>
              <w:rPr>
                <w:b/>
                <w:bCs/>
                <w:color w:val="FF0000"/>
                <w:sz w:val="24"/>
                <w:szCs w:val="24"/>
              </w:rPr>
              <w:t>                                                         </w:t>
            </w:r>
          </w:p>
        </w:tc>
        <w:tc>
          <w:tcPr>
            <w:tcW w:w="4508" w:type="dxa"/>
          </w:tcPr>
          <w:p w14:paraId="49EF1FDD" w14:textId="10452B40" w:rsidR="00933981" w:rsidRDefault="00204E11" w:rsidP="00933981">
            <w:pPr>
              <w:spacing w:before="100" w:beforeAutospacing="1" w:after="100" w:afterAutospacing="1"/>
              <w:rPr>
                <w:b/>
                <w:bCs/>
                <w:sz w:val="24"/>
                <w:szCs w:val="24"/>
              </w:rPr>
            </w:pPr>
            <w:r>
              <w:rPr>
                <w:sz w:val="24"/>
                <w:szCs w:val="24"/>
              </w:rPr>
              <w:t>Activities for older men</w:t>
            </w:r>
          </w:p>
        </w:tc>
      </w:tr>
      <w:tr w:rsidR="00933981" w14:paraId="5AB68D51" w14:textId="77777777" w:rsidTr="00204E11">
        <w:tc>
          <w:tcPr>
            <w:tcW w:w="4508" w:type="dxa"/>
          </w:tcPr>
          <w:p w14:paraId="05FA9A82" w14:textId="1200459F" w:rsidR="00933981" w:rsidRDefault="00933981" w:rsidP="00933981">
            <w:pPr>
              <w:spacing w:before="100" w:beforeAutospacing="1" w:after="100" w:afterAutospacing="1"/>
              <w:rPr>
                <w:b/>
                <w:bCs/>
                <w:sz w:val="24"/>
                <w:szCs w:val="24"/>
              </w:rPr>
            </w:pPr>
            <w:r>
              <w:rPr>
                <w:sz w:val="24"/>
                <w:szCs w:val="24"/>
              </w:rPr>
              <w:t xml:space="preserve">Healthier lifestyles </w:t>
            </w:r>
            <w:r>
              <w:rPr>
                <w:b/>
                <w:bCs/>
                <w:color w:val="FF0000"/>
                <w:sz w:val="24"/>
                <w:szCs w:val="24"/>
              </w:rPr>
              <w:t>(only priority</w:t>
            </w:r>
            <w:r w:rsidR="00204E11">
              <w:rPr>
                <w:b/>
                <w:bCs/>
                <w:color w:val="FF0000"/>
                <w:sz w:val="24"/>
                <w:szCs w:val="24"/>
              </w:rPr>
              <w:t xml:space="preserve"> </w:t>
            </w:r>
            <w:proofErr w:type="gramStart"/>
            <w:r>
              <w:rPr>
                <w:b/>
                <w:bCs/>
                <w:color w:val="FF0000"/>
                <w:sz w:val="24"/>
                <w:szCs w:val="24"/>
              </w:rPr>
              <w:t>areas)   </w:t>
            </w:r>
            <w:proofErr w:type="gramEnd"/>
            <w:r>
              <w:rPr>
                <w:b/>
                <w:bCs/>
                <w:color w:val="FF0000"/>
                <w:sz w:val="24"/>
                <w:szCs w:val="24"/>
              </w:rPr>
              <w:t>                                                                              </w:t>
            </w:r>
          </w:p>
        </w:tc>
        <w:tc>
          <w:tcPr>
            <w:tcW w:w="4508" w:type="dxa"/>
          </w:tcPr>
          <w:p w14:paraId="7A0631EF" w14:textId="5C9966B9" w:rsidR="00933981" w:rsidRDefault="00204E11" w:rsidP="00933981">
            <w:pPr>
              <w:spacing w:before="100" w:beforeAutospacing="1" w:after="100" w:afterAutospacing="1"/>
              <w:rPr>
                <w:b/>
                <w:bCs/>
                <w:sz w:val="24"/>
                <w:szCs w:val="24"/>
              </w:rPr>
            </w:pPr>
            <w:r>
              <w:rPr>
                <w:sz w:val="24"/>
                <w:szCs w:val="24"/>
              </w:rPr>
              <w:t>Financial and Digital Inclusion</w:t>
            </w:r>
          </w:p>
        </w:tc>
      </w:tr>
      <w:tr w:rsidR="00933981" w14:paraId="7B7EEC84" w14:textId="77777777" w:rsidTr="00204E11">
        <w:tc>
          <w:tcPr>
            <w:tcW w:w="4508" w:type="dxa"/>
          </w:tcPr>
          <w:p w14:paraId="2858410E" w14:textId="794A0F04" w:rsidR="00933981" w:rsidRDefault="00933981" w:rsidP="00933981">
            <w:pPr>
              <w:spacing w:before="100" w:beforeAutospacing="1" w:after="100" w:afterAutospacing="1"/>
              <w:rPr>
                <w:b/>
                <w:bCs/>
                <w:sz w:val="24"/>
                <w:szCs w:val="24"/>
              </w:rPr>
            </w:pPr>
            <w:r>
              <w:rPr>
                <w:sz w:val="24"/>
                <w:szCs w:val="24"/>
              </w:rPr>
              <w:t>Maximised income                                                                                                                    </w:t>
            </w:r>
          </w:p>
        </w:tc>
        <w:tc>
          <w:tcPr>
            <w:tcW w:w="4508" w:type="dxa"/>
          </w:tcPr>
          <w:p w14:paraId="5CC48DC0" w14:textId="0D8510E5" w:rsidR="00933981" w:rsidRDefault="00204E11" w:rsidP="00933981">
            <w:pPr>
              <w:spacing w:before="100" w:beforeAutospacing="1" w:after="100" w:afterAutospacing="1"/>
              <w:rPr>
                <w:b/>
                <w:bCs/>
                <w:sz w:val="24"/>
                <w:szCs w:val="24"/>
              </w:rPr>
            </w:pPr>
            <w:r>
              <w:rPr>
                <w:sz w:val="24"/>
                <w:szCs w:val="24"/>
              </w:rPr>
              <w:t>Capacity building and infrastructure support to community groups</w:t>
            </w:r>
          </w:p>
        </w:tc>
      </w:tr>
      <w:tr w:rsidR="00933981" w14:paraId="5E9DC47C" w14:textId="77777777" w:rsidTr="00204E11">
        <w:tc>
          <w:tcPr>
            <w:tcW w:w="4508" w:type="dxa"/>
          </w:tcPr>
          <w:p w14:paraId="4F448820" w14:textId="6AE53F90" w:rsidR="00933981" w:rsidRDefault="00933981" w:rsidP="00933981">
            <w:pPr>
              <w:spacing w:before="100" w:beforeAutospacing="1" w:after="100" w:afterAutospacing="1"/>
              <w:rPr>
                <w:b/>
                <w:bCs/>
                <w:sz w:val="24"/>
                <w:szCs w:val="24"/>
              </w:rPr>
            </w:pPr>
            <w:r>
              <w:rPr>
                <w:sz w:val="24"/>
                <w:szCs w:val="24"/>
              </w:rPr>
              <w:t>Housing which supports independence                                                                                 </w:t>
            </w:r>
          </w:p>
        </w:tc>
        <w:tc>
          <w:tcPr>
            <w:tcW w:w="4508" w:type="dxa"/>
          </w:tcPr>
          <w:p w14:paraId="13271D5A" w14:textId="447810A2" w:rsidR="00933981" w:rsidRDefault="00204E11" w:rsidP="00933981">
            <w:pPr>
              <w:spacing w:before="100" w:beforeAutospacing="1" w:after="100" w:afterAutospacing="1"/>
              <w:rPr>
                <w:b/>
                <w:bCs/>
                <w:sz w:val="24"/>
                <w:szCs w:val="24"/>
              </w:rPr>
            </w:pPr>
            <w:r>
              <w:rPr>
                <w:sz w:val="24"/>
                <w:szCs w:val="24"/>
              </w:rPr>
              <w:t>Volunteering and participation in local neighbourhood</w:t>
            </w:r>
          </w:p>
        </w:tc>
      </w:tr>
      <w:tr w:rsidR="00933981" w14:paraId="09338815" w14:textId="77777777" w:rsidTr="00204E11">
        <w:tc>
          <w:tcPr>
            <w:tcW w:w="4508" w:type="dxa"/>
          </w:tcPr>
          <w:p w14:paraId="6587AB20" w14:textId="74FEF8EF" w:rsidR="00933981" w:rsidRDefault="00204E11" w:rsidP="00933981">
            <w:pPr>
              <w:spacing w:before="100" w:beforeAutospacing="1" w:after="100" w:afterAutospacing="1"/>
              <w:rPr>
                <w:b/>
                <w:bCs/>
                <w:sz w:val="24"/>
                <w:szCs w:val="24"/>
              </w:rPr>
            </w:pPr>
            <w:r>
              <w:rPr>
                <w:sz w:val="24"/>
                <w:szCs w:val="24"/>
              </w:rPr>
              <w:t>Carers feel more supported (as people and as</w:t>
            </w:r>
            <w:r>
              <w:rPr>
                <w:sz w:val="24"/>
                <w:szCs w:val="24"/>
              </w:rPr>
              <w:t xml:space="preserve"> </w:t>
            </w:r>
            <w:proofErr w:type="gramStart"/>
            <w:r>
              <w:rPr>
                <w:sz w:val="24"/>
                <w:szCs w:val="24"/>
              </w:rPr>
              <w:t>carers)   </w:t>
            </w:r>
            <w:proofErr w:type="gramEnd"/>
            <w:r>
              <w:rPr>
                <w:sz w:val="24"/>
                <w:szCs w:val="24"/>
              </w:rPr>
              <w:t>                                                  </w:t>
            </w:r>
          </w:p>
        </w:tc>
        <w:tc>
          <w:tcPr>
            <w:tcW w:w="4508" w:type="dxa"/>
          </w:tcPr>
          <w:p w14:paraId="20BCE1EA" w14:textId="3F30544C" w:rsidR="00933981" w:rsidRDefault="00204E11" w:rsidP="00933981">
            <w:pPr>
              <w:spacing w:before="100" w:beforeAutospacing="1" w:after="100" w:afterAutospacing="1"/>
              <w:rPr>
                <w:b/>
                <w:bCs/>
                <w:sz w:val="24"/>
                <w:szCs w:val="24"/>
              </w:rPr>
            </w:pPr>
            <w:r>
              <w:rPr>
                <w:b/>
                <w:bCs/>
                <w:color w:val="FF0000"/>
                <w:sz w:val="24"/>
                <w:szCs w:val="24"/>
              </w:rPr>
              <w:t xml:space="preserve">Priority areas – </w:t>
            </w:r>
            <w:proofErr w:type="spellStart"/>
            <w:r>
              <w:rPr>
                <w:b/>
                <w:bCs/>
                <w:color w:val="FF0000"/>
                <w:sz w:val="24"/>
                <w:szCs w:val="24"/>
              </w:rPr>
              <w:t>Billesley</w:t>
            </w:r>
            <w:proofErr w:type="spellEnd"/>
            <w:r>
              <w:rPr>
                <w:b/>
                <w:bCs/>
                <w:color w:val="FF0000"/>
                <w:sz w:val="24"/>
                <w:szCs w:val="24"/>
              </w:rPr>
              <w:t xml:space="preserve">, </w:t>
            </w:r>
            <w:proofErr w:type="spellStart"/>
            <w:r>
              <w:rPr>
                <w:b/>
                <w:bCs/>
                <w:color w:val="FF0000"/>
                <w:sz w:val="24"/>
                <w:szCs w:val="24"/>
              </w:rPr>
              <w:t>Brandwood</w:t>
            </w:r>
            <w:proofErr w:type="spellEnd"/>
            <w:r>
              <w:rPr>
                <w:b/>
                <w:bCs/>
                <w:color w:val="FF0000"/>
                <w:sz w:val="24"/>
                <w:szCs w:val="24"/>
              </w:rPr>
              <w:t xml:space="preserve"> and Masefield</w:t>
            </w:r>
          </w:p>
        </w:tc>
      </w:tr>
      <w:tr w:rsidR="00933981" w14:paraId="6CC734DD" w14:textId="77777777" w:rsidTr="00204E11">
        <w:tc>
          <w:tcPr>
            <w:tcW w:w="4508" w:type="dxa"/>
          </w:tcPr>
          <w:p w14:paraId="18F83857" w14:textId="77777777" w:rsidR="00933981" w:rsidRDefault="00933981" w:rsidP="00933981">
            <w:pPr>
              <w:spacing w:before="100" w:beforeAutospacing="1" w:after="100" w:afterAutospacing="1"/>
              <w:rPr>
                <w:b/>
                <w:bCs/>
                <w:sz w:val="24"/>
                <w:szCs w:val="24"/>
              </w:rPr>
            </w:pPr>
          </w:p>
        </w:tc>
        <w:tc>
          <w:tcPr>
            <w:tcW w:w="4508" w:type="dxa"/>
          </w:tcPr>
          <w:p w14:paraId="0596299E" w14:textId="77777777" w:rsidR="00933981" w:rsidRDefault="00933981" w:rsidP="00933981">
            <w:pPr>
              <w:spacing w:before="100" w:beforeAutospacing="1" w:after="100" w:afterAutospacing="1"/>
              <w:rPr>
                <w:b/>
                <w:bCs/>
                <w:sz w:val="24"/>
                <w:szCs w:val="24"/>
              </w:rPr>
            </w:pPr>
          </w:p>
        </w:tc>
      </w:tr>
    </w:tbl>
    <w:p w14:paraId="32792E21" w14:textId="3C1EAE1E" w:rsidR="00933981" w:rsidRDefault="00933981" w:rsidP="00933981">
      <w:pPr>
        <w:spacing w:before="100" w:beforeAutospacing="1" w:after="100" w:afterAutospacing="1"/>
      </w:pPr>
    </w:p>
    <w:p w14:paraId="6DEB826D" w14:textId="77777777" w:rsidR="00933981" w:rsidRDefault="00933981" w:rsidP="00933981">
      <w:pPr>
        <w:spacing w:before="100" w:beforeAutospacing="1" w:after="100" w:afterAutospacing="1"/>
      </w:pPr>
      <w:r>
        <w:rPr>
          <w:b/>
          <w:bCs/>
          <w:sz w:val="24"/>
          <w:szCs w:val="24"/>
        </w:rPr>
        <w:t xml:space="preserve">General Good Practice principles for proposals – should show evidence </w:t>
      </w:r>
      <w:proofErr w:type="gramStart"/>
      <w:r>
        <w:rPr>
          <w:b/>
          <w:bCs/>
          <w:sz w:val="24"/>
          <w:szCs w:val="24"/>
        </w:rPr>
        <w:t>of:-</w:t>
      </w:r>
      <w:proofErr w:type="gramEnd"/>
    </w:p>
    <w:p w14:paraId="7EF772A6" w14:textId="77777777" w:rsidR="00933981" w:rsidRDefault="00933981" w:rsidP="00933981">
      <w:pPr>
        <w:pStyle w:val="m-8332360185985556624msolistparagraph"/>
        <w:numPr>
          <w:ilvl w:val="0"/>
          <w:numId w:val="2"/>
        </w:numPr>
      </w:pPr>
      <w:r>
        <w:rPr>
          <w:sz w:val="24"/>
          <w:szCs w:val="24"/>
        </w:rPr>
        <w:t xml:space="preserve">Co-produced with the beneficiaries – </w:t>
      </w:r>
      <w:proofErr w:type="spellStart"/>
      <w:r>
        <w:rPr>
          <w:sz w:val="24"/>
          <w:szCs w:val="24"/>
        </w:rPr>
        <w:t>ie</w:t>
      </w:r>
      <w:proofErr w:type="spellEnd"/>
      <w:r>
        <w:rPr>
          <w:sz w:val="24"/>
          <w:szCs w:val="24"/>
        </w:rPr>
        <w:t xml:space="preserve"> older people, community groups, networks etc.</w:t>
      </w:r>
    </w:p>
    <w:p w14:paraId="75F64F99" w14:textId="77777777" w:rsidR="00933981" w:rsidRDefault="00933981" w:rsidP="00933981">
      <w:pPr>
        <w:pStyle w:val="m-8332360185985556624msolistparagraph"/>
        <w:numPr>
          <w:ilvl w:val="0"/>
          <w:numId w:val="2"/>
        </w:numPr>
      </w:pPr>
      <w:r>
        <w:rPr>
          <w:sz w:val="24"/>
          <w:szCs w:val="24"/>
        </w:rPr>
        <w:t>Collaboration and partnerships with other stakeholders</w:t>
      </w:r>
    </w:p>
    <w:p w14:paraId="0558A62F" w14:textId="77777777" w:rsidR="00933981" w:rsidRDefault="00933981" w:rsidP="00933981">
      <w:pPr>
        <w:pStyle w:val="m-8332360185985556624msolistparagraph"/>
        <w:numPr>
          <w:ilvl w:val="0"/>
          <w:numId w:val="2"/>
        </w:numPr>
      </w:pPr>
      <w:proofErr w:type="gramStart"/>
      <w:r>
        <w:rPr>
          <w:sz w:val="24"/>
          <w:szCs w:val="24"/>
        </w:rPr>
        <w:t>A lasting legacy</w:t>
      </w:r>
      <w:proofErr w:type="gramEnd"/>
      <w:r>
        <w:rPr>
          <w:sz w:val="24"/>
          <w:szCs w:val="24"/>
        </w:rPr>
        <w:t>, impact or sustainability</w:t>
      </w:r>
    </w:p>
    <w:p w14:paraId="5DE6D7B0" w14:textId="1D1D4796" w:rsidR="00933981" w:rsidRDefault="00933981" w:rsidP="00933981">
      <w:pPr>
        <w:pStyle w:val="m-8332360185985556624msolistparagraph"/>
        <w:numPr>
          <w:ilvl w:val="0"/>
          <w:numId w:val="2"/>
        </w:numPr>
      </w:pPr>
      <w:r>
        <w:rPr>
          <w:sz w:val="24"/>
          <w:szCs w:val="24"/>
        </w:rPr>
        <w:t>Promoting making safeguarding personal and risk enablement</w:t>
      </w:r>
    </w:p>
    <w:p w14:paraId="7BED6003" w14:textId="77777777" w:rsidR="00933981" w:rsidRDefault="00933981" w:rsidP="00933981">
      <w:pPr>
        <w:spacing w:before="100" w:beforeAutospacing="1" w:after="100" w:afterAutospacing="1"/>
      </w:pPr>
      <w:r>
        <w:rPr>
          <w:b/>
          <w:bCs/>
          <w:sz w:val="24"/>
          <w:szCs w:val="24"/>
        </w:rPr>
        <w:t>How much can You apply for?</w:t>
      </w:r>
    </w:p>
    <w:p w14:paraId="5C895491" w14:textId="77777777" w:rsidR="00933981" w:rsidRDefault="00933981" w:rsidP="00933981">
      <w:pPr>
        <w:pStyle w:val="m-8332360185985556624msolistparagraph"/>
        <w:numPr>
          <w:ilvl w:val="0"/>
          <w:numId w:val="3"/>
        </w:numPr>
      </w:pPr>
      <w:r>
        <w:rPr>
          <w:b/>
          <w:bCs/>
          <w:sz w:val="24"/>
          <w:szCs w:val="24"/>
        </w:rPr>
        <w:t>Investment in new community activity</w:t>
      </w:r>
      <w:r>
        <w:rPr>
          <w:sz w:val="24"/>
          <w:szCs w:val="24"/>
        </w:rPr>
        <w:t xml:space="preserve"> – up to £10,000 for a period of up to 12 </w:t>
      </w:r>
      <w:proofErr w:type="gramStart"/>
      <w:r>
        <w:rPr>
          <w:sz w:val="24"/>
          <w:szCs w:val="24"/>
        </w:rPr>
        <w:t>months .</w:t>
      </w:r>
      <w:proofErr w:type="gramEnd"/>
      <w:r>
        <w:rPr>
          <w:sz w:val="24"/>
          <w:szCs w:val="24"/>
        </w:rPr>
        <w:t xml:space="preserve"> </w:t>
      </w:r>
      <w:proofErr w:type="gramStart"/>
      <w:r>
        <w:rPr>
          <w:sz w:val="24"/>
          <w:szCs w:val="24"/>
        </w:rPr>
        <w:t>However</w:t>
      </w:r>
      <w:proofErr w:type="gramEnd"/>
      <w:r>
        <w:rPr>
          <w:sz w:val="24"/>
          <w:szCs w:val="24"/>
        </w:rPr>
        <w:t xml:space="preserve"> it is more likely that Selly Oak NNS will be awarding most grants between £2000-£5000</w:t>
      </w:r>
    </w:p>
    <w:p w14:paraId="1B7E13B9" w14:textId="77777777" w:rsidR="00933981" w:rsidRDefault="00933981" w:rsidP="00933981">
      <w:pPr>
        <w:pStyle w:val="m-8332360185985556624msolistparagraph"/>
        <w:numPr>
          <w:ilvl w:val="0"/>
          <w:numId w:val="3"/>
        </w:numPr>
      </w:pPr>
      <w:r>
        <w:rPr>
          <w:b/>
          <w:bCs/>
          <w:sz w:val="24"/>
          <w:szCs w:val="24"/>
        </w:rPr>
        <w:lastRenderedPageBreak/>
        <w:t>Increasing or improving the accessibility of existing community activities</w:t>
      </w:r>
      <w:r>
        <w:rPr>
          <w:sz w:val="24"/>
          <w:szCs w:val="24"/>
        </w:rPr>
        <w:t xml:space="preserve"> – again up to £10,000 for a period of up to 12 months. </w:t>
      </w:r>
      <w:proofErr w:type="gramStart"/>
      <w:r>
        <w:rPr>
          <w:sz w:val="24"/>
          <w:szCs w:val="24"/>
        </w:rPr>
        <w:t>However</w:t>
      </w:r>
      <w:proofErr w:type="gramEnd"/>
      <w:r>
        <w:rPr>
          <w:sz w:val="24"/>
          <w:szCs w:val="24"/>
        </w:rPr>
        <w:t xml:space="preserve"> it is more likely that Selly Oak NNS will be awarding most grants between £2000-£5000</w:t>
      </w:r>
    </w:p>
    <w:p w14:paraId="4EC759E7" w14:textId="77777777" w:rsidR="00933981" w:rsidRDefault="00933981" w:rsidP="00933981">
      <w:pPr>
        <w:pStyle w:val="m-8332360185985556624msolistparagraph"/>
        <w:numPr>
          <w:ilvl w:val="0"/>
          <w:numId w:val="3"/>
        </w:numPr>
      </w:pPr>
      <w:r>
        <w:rPr>
          <w:b/>
          <w:bCs/>
          <w:sz w:val="24"/>
          <w:szCs w:val="24"/>
        </w:rPr>
        <w:t>Investment in capacity building and infrastructure support</w:t>
      </w:r>
      <w:r>
        <w:rPr>
          <w:sz w:val="24"/>
          <w:szCs w:val="24"/>
        </w:rPr>
        <w:t xml:space="preserve"> – up to a maximum of £5000 for activity up to 3 months / 1 grant per recipient per 12months</w:t>
      </w:r>
    </w:p>
    <w:p w14:paraId="50D0C783" w14:textId="77777777" w:rsidR="00933981" w:rsidRDefault="00933981" w:rsidP="00933981">
      <w:pPr>
        <w:spacing w:before="100" w:beforeAutospacing="1" w:after="100" w:afterAutospacing="1"/>
      </w:pPr>
      <w:r>
        <w:rPr>
          <w:sz w:val="24"/>
          <w:szCs w:val="24"/>
        </w:rPr>
        <w:t> </w:t>
      </w:r>
    </w:p>
    <w:p w14:paraId="7482C933" w14:textId="77777777" w:rsidR="00933981" w:rsidRDefault="00933981" w:rsidP="00933981">
      <w:pPr>
        <w:spacing w:before="100" w:beforeAutospacing="1" w:after="100" w:afterAutospacing="1"/>
      </w:pPr>
      <w:r>
        <w:rPr>
          <w:b/>
          <w:bCs/>
          <w:sz w:val="24"/>
          <w:szCs w:val="24"/>
        </w:rPr>
        <w:t>Submissions to be made by</w:t>
      </w:r>
    </w:p>
    <w:p w14:paraId="586D96D9" w14:textId="77777777" w:rsidR="00933981" w:rsidRDefault="00933981" w:rsidP="00933981">
      <w:pPr>
        <w:pStyle w:val="m-8332360185985556624msolistparagraph"/>
        <w:numPr>
          <w:ilvl w:val="0"/>
          <w:numId w:val="4"/>
        </w:numPr>
      </w:pPr>
      <w:r>
        <w:rPr>
          <w:b/>
          <w:bCs/>
        </w:rPr>
        <w:t>Friday 13</w:t>
      </w:r>
      <w:r>
        <w:rPr>
          <w:b/>
          <w:bCs/>
          <w:vertAlign w:val="superscript"/>
        </w:rPr>
        <w:t>th</w:t>
      </w:r>
      <w:r>
        <w:rPr>
          <w:b/>
          <w:bCs/>
        </w:rPr>
        <w:t xml:space="preserve"> March </w:t>
      </w:r>
    </w:p>
    <w:p w14:paraId="7F40DD44" w14:textId="77777777" w:rsidR="00933981" w:rsidRDefault="00933981" w:rsidP="00933981">
      <w:pPr>
        <w:spacing w:before="100" w:beforeAutospacing="1" w:after="100" w:afterAutospacing="1"/>
      </w:pPr>
      <w:r>
        <w:rPr>
          <w:sz w:val="24"/>
          <w:szCs w:val="24"/>
        </w:rPr>
        <w:t xml:space="preserve">Proposal Forms returned to </w:t>
      </w:r>
      <w:hyperlink r:id="rId5" w:tgtFrame="_blank" w:history="1">
        <w:r>
          <w:rPr>
            <w:rStyle w:val="Hyperlink"/>
            <w:sz w:val="24"/>
            <w:szCs w:val="24"/>
          </w:rPr>
          <w:t>Karen.Cheney@birmingham.gov.uk</w:t>
        </w:r>
      </w:hyperlink>
    </w:p>
    <w:p w14:paraId="7675831E" w14:textId="77777777" w:rsidR="00933981" w:rsidRDefault="00933981" w:rsidP="00933981">
      <w:pPr>
        <w:spacing w:before="100" w:beforeAutospacing="1" w:after="100" w:afterAutospacing="1"/>
      </w:pPr>
      <w:r>
        <w:rPr>
          <w:sz w:val="24"/>
          <w:szCs w:val="24"/>
        </w:rPr>
        <w:t> </w:t>
      </w:r>
    </w:p>
    <w:p w14:paraId="15341B33" w14:textId="77777777" w:rsidR="00933981" w:rsidRDefault="00933981" w:rsidP="00933981">
      <w:pPr>
        <w:spacing w:before="100" w:beforeAutospacing="1" w:after="100" w:afterAutospacing="1"/>
      </w:pPr>
      <w:r>
        <w:rPr>
          <w:b/>
          <w:bCs/>
          <w:sz w:val="24"/>
          <w:szCs w:val="24"/>
        </w:rPr>
        <w:t>Additional Conditions of Grant</w:t>
      </w:r>
    </w:p>
    <w:p w14:paraId="0B042C67" w14:textId="77777777" w:rsidR="00933981" w:rsidRDefault="00933981" w:rsidP="00933981">
      <w:pPr>
        <w:spacing w:before="100" w:beforeAutospacing="1" w:after="100" w:afterAutospacing="1"/>
      </w:pPr>
      <w:r>
        <w:rPr>
          <w:sz w:val="24"/>
          <w:szCs w:val="24"/>
        </w:rPr>
        <w:t xml:space="preserve">All activity which is funded must be consistent with the terms and conditions of the City Council’s Conditions of Grant Aid </w:t>
      </w:r>
      <w:proofErr w:type="gramStart"/>
      <w:r>
        <w:rPr>
          <w:sz w:val="24"/>
          <w:szCs w:val="24"/>
        </w:rPr>
        <w:t>( as</w:t>
      </w:r>
      <w:proofErr w:type="gramEnd"/>
      <w:r>
        <w:rPr>
          <w:sz w:val="24"/>
          <w:szCs w:val="24"/>
        </w:rPr>
        <w:t xml:space="preserve"> attached)</w:t>
      </w:r>
    </w:p>
    <w:p w14:paraId="3A2819B9" w14:textId="77777777" w:rsidR="00933981" w:rsidRDefault="00933981" w:rsidP="00933981">
      <w:pPr>
        <w:spacing w:before="100" w:beforeAutospacing="1" w:after="100" w:afterAutospacing="1"/>
      </w:pPr>
      <w:r>
        <w:rPr>
          <w:sz w:val="24"/>
          <w:szCs w:val="24"/>
        </w:rPr>
        <w:t> </w:t>
      </w:r>
    </w:p>
    <w:p w14:paraId="2F6FB1CA" w14:textId="77777777" w:rsidR="00933981" w:rsidRDefault="00933981" w:rsidP="00933981">
      <w:pPr>
        <w:spacing w:before="100" w:beforeAutospacing="1" w:after="100" w:afterAutospacing="1"/>
      </w:pPr>
      <w:r>
        <w:rPr>
          <w:sz w:val="24"/>
          <w:szCs w:val="24"/>
        </w:rPr>
        <w:t xml:space="preserve">In addition Selly Oak NNS have added two other conditions that successful recipients will be required </w:t>
      </w:r>
      <w:proofErr w:type="gramStart"/>
      <w:r>
        <w:rPr>
          <w:sz w:val="24"/>
          <w:szCs w:val="24"/>
        </w:rPr>
        <w:t>to :</w:t>
      </w:r>
      <w:proofErr w:type="gramEnd"/>
      <w:r>
        <w:rPr>
          <w:sz w:val="24"/>
          <w:szCs w:val="24"/>
        </w:rPr>
        <w:t>-</w:t>
      </w:r>
    </w:p>
    <w:p w14:paraId="6B045537" w14:textId="77777777" w:rsidR="00933981" w:rsidRDefault="00933981" w:rsidP="00933981">
      <w:pPr>
        <w:pStyle w:val="m-8332360185985556624msolistparagraph"/>
        <w:numPr>
          <w:ilvl w:val="0"/>
          <w:numId w:val="5"/>
        </w:numPr>
      </w:pPr>
      <w:r>
        <w:rPr>
          <w:sz w:val="24"/>
          <w:szCs w:val="24"/>
        </w:rPr>
        <w:t xml:space="preserve"> Use the Selly Oak </w:t>
      </w:r>
      <w:proofErr w:type="gramStart"/>
      <w:r>
        <w:rPr>
          <w:sz w:val="24"/>
          <w:szCs w:val="24"/>
        </w:rPr>
        <w:t>NNS  Impact</w:t>
      </w:r>
      <w:proofErr w:type="gramEnd"/>
      <w:r>
        <w:rPr>
          <w:sz w:val="24"/>
          <w:szCs w:val="24"/>
        </w:rPr>
        <w:t xml:space="preserve"> App. to record activity outcomes – don’t worry training will be provided</w:t>
      </w:r>
    </w:p>
    <w:p w14:paraId="20462016" w14:textId="77777777" w:rsidR="00933981" w:rsidRDefault="00933981" w:rsidP="00933981">
      <w:pPr>
        <w:pStyle w:val="m-8332360185985556624msolistparagraph"/>
        <w:numPr>
          <w:ilvl w:val="0"/>
          <w:numId w:val="5"/>
        </w:numPr>
      </w:pPr>
      <w:r>
        <w:rPr>
          <w:sz w:val="24"/>
          <w:szCs w:val="24"/>
        </w:rPr>
        <w:t xml:space="preserve">Use the Selly Oak NNS Publicity – you will be provided with logos and footers – </w:t>
      </w:r>
      <w:r>
        <w:rPr>
          <w:b/>
          <w:bCs/>
          <w:sz w:val="24"/>
          <w:szCs w:val="24"/>
        </w:rPr>
        <w:t xml:space="preserve">“Selly Oak NNS – Live, </w:t>
      </w:r>
      <w:proofErr w:type="gramStart"/>
      <w:r>
        <w:rPr>
          <w:b/>
          <w:bCs/>
          <w:sz w:val="24"/>
          <w:szCs w:val="24"/>
        </w:rPr>
        <w:t>Laugh ,</w:t>
      </w:r>
      <w:proofErr w:type="gramEnd"/>
      <w:r>
        <w:rPr>
          <w:b/>
          <w:bCs/>
          <w:sz w:val="24"/>
          <w:szCs w:val="24"/>
        </w:rPr>
        <w:t xml:space="preserve"> Love”</w:t>
      </w:r>
    </w:p>
    <w:p w14:paraId="3D499E45" w14:textId="77777777" w:rsidR="00933981" w:rsidRDefault="00933981" w:rsidP="00933981">
      <w:pPr>
        <w:spacing w:before="100" w:beforeAutospacing="1" w:after="100" w:afterAutospacing="1"/>
      </w:pPr>
      <w:r>
        <w:rPr>
          <w:sz w:val="24"/>
          <w:szCs w:val="24"/>
        </w:rPr>
        <w:t> </w:t>
      </w:r>
    </w:p>
    <w:p w14:paraId="4C499256" w14:textId="77777777" w:rsidR="00933981" w:rsidRDefault="00933981" w:rsidP="00933981">
      <w:pPr>
        <w:spacing w:before="100" w:beforeAutospacing="1" w:after="100" w:afterAutospacing="1"/>
      </w:pPr>
      <w:r>
        <w:rPr>
          <w:sz w:val="24"/>
          <w:szCs w:val="24"/>
        </w:rPr>
        <w:t> </w:t>
      </w:r>
    </w:p>
    <w:p w14:paraId="3D7FBBD8" w14:textId="77777777" w:rsidR="00933981" w:rsidRDefault="00933981" w:rsidP="00933981">
      <w:pPr>
        <w:spacing w:before="100" w:beforeAutospacing="1" w:after="100" w:afterAutospacing="1"/>
      </w:pPr>
      <w:proofErr w:type="gramStart"/>
      <w:r>
        <w:rPr>
          <w:sz w:val="24"/>
          <w:szCs w:val="24"/>
        </w:rPr>
        <w:t>So</w:t>
      </w:r>
      <w:proofErr w:type="gramEnd"/>
      <w:r>
        <w:rPr>
          <w:sz w:val="24"/>
          <w:szCs w:val="24"/>
        </w:rPr>
        <w:t xml:space="preserve"> if you have a great idea please apply. If you would like to talk through your idea first please  don’t hesitate to contact me </w:t>
      </w:r>
      <w:hyperlink r:id="rId6" w:tgtFrame="_blank" w:history="1">
        <w:r>
          <w:rPr>
            <w:rStyle w:val="Hyperlink"/>
            <w:sz w:val="24"/>
            <w:szCs w:val="24"/>
          </w:rPr>
          <w:t>Karen.Cheney@birmingham.gov.uk</w:t>
        </w:r>
      </w:hyperlink>
      <w:r>
        <w:rPr>
          <w:sz w:val="24"/>
          <w:szCs w:val="24"/>
        </w:rPr>
        <w:t xml:space="preserve">  or Ian Ellis </w:t>
      </w:r>
      <w:hyperlink r:id="rId7" w:tgtFrame="_blank" w:history="1">
        <w:r>
          <w:rPr>
            <w:rStyle w:val="Hyperlink"/>
            <w:sz w:val="24"/>
            <w:szCs w:val="24"/>
          </w:rPr>
          <w:t>Ian.Ellis@birmingham.gov.uk</w:t>
        </w:r>
      </w:hyperlink>
      <w:r>
        <w:rPr>
          <w:sz w:val="24"/>
          <w:szCs w:val="24"/>
        </w:rPr>
        <w:t xml:space="preserve">  Tel 0121 464 9072 </w:t>
      </w:r>
    </w:p>
    <w:p w14:paraId="685615B3" w14:textId="77777777" w:rsidR="00933981" w:rsidRDefault="00933981" w:rsidP="00933981">
      <w:pPr>
        <w:spacing w:before="100" w:beforeAutospacing="1" w:after="100" w:afterAutospacing="1"/>
      </w:pPr>
      <w:r>
        <w:rPr>
          <w:sz w:val="24"/>
          <w:szCs w:val="24"/>
        </w:rPr>
        <w:t xml:space="preserve">Please feel free to pass on the information and proposal forms to anyone else you think might be interested. </w:t>
      </w:r>
    </w:p>
    <w:p w14:paraId="62CCD98E" w14:textId="77777777" w:rsidR="002739C6" w:rsidRDefault="002739C6"/>
    <w:sectPr w:rsidR="002739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428E"/>
    <w:multiLevelType w:val="multilevel"/>
    <w:tmpl w:val="E67A84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8517C"/>
    <w:multiLevelType w:val="multilevel"/>
    <w:tmpl w:val="9FFAB4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0B0356"/>
    <w:multiLevelType w:val="multilevel"/>
    <w:tmpl w:val="3DA66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645E7A"/>
    <w:multiLevelType w:val="multilevel"/>
    <w:tmpl w:val="4C583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42011E"/>
    <w:multiLevelType w:val="multilevel"/>
    <w:tmpl w:val="19AA1160"/>
    <w:lvl w:ilvl="0">
      <w:start w:val="1"/>
      <w:numFmt w:val="bullet"/>
      <w:lvlText w:val=""/>
      <w:lvlJc w:val="left"/>
      <w:pPr>
        <w:tabs>
          <w:tab w:val="num" w:pos="5180"/>
        </w:tabs>
        <w:ind w:left="5180" w:hanging="360"/>
      </w:pPr>
      <w:rPr>
        <w:rFonts w:ascii="Symbol" w:hAnsi="Symbol" w:hint="default"/>
        <w:sz w:val="20"/>
      </w:rPr>
    </w:lvl>
    <w:lvl w:ilvl="1">
      <w:start w:val="1"/>
      <w:numFmt w:val="bullet"/>
      <w:lvlText w:val=""/>
      <w:lvlJc w:val="left"/>
      <w:pPr>
        <w:tabs>
          <w:tab w:val="num" w:pos="5900"/>
        </w:tabs>
        <w:ind w:left="5900" w:hanging="360"/>
      </w:pPr>
      <w:rPr>
        <w:rFonts w:ascii="Symbol" w:hAnsi="Symbol" w:hint="default"/>
        <w:sz w:val="20"/>
      </w:rPr>
    </w:lvl>
    <w:lvl w:ilvl="2">
      <w:start w:val="1"/>
      <w:numFmt w:val="bullet"/>
      <w:lvlText w:val=""/>
      <w:lvlJc w:val="left"/>
      <w:pPr>
        <w:tabs>
          <w:tab w:val="num" w:pos="6620"/>
        </w:tabs>
        <w:ind w:left="6620" w:hanging="360"/>
      </w:pPr>
      <w:rPr>
        <w:rFonts w:ascii="Symbol" w:hAnsi="Symbol" w:hint="default"/>
        <w:sz w:val="20"/>
      </w:rPr>
    </w:lvl>
    <w:lvl w:ilvl="3">
      <w:start w:val="1"/>
      <w:numFmt w:val="bullet"/>
      <w:lvlText w:val=""/>
      <w:lvlJc w:val="left"/>
      <w:pPr>
        <w:tabs>
          <w:tab w:val="num" w:pos="7340"/>
        </w:tabs>
        <w:ind w:left="7340" w:hanging="360"/>
      </w:pPr>
      <w:rPr>
        <w:rFonts w:ascii="Symbol" w:hAnsi="Symbol" w:hint="default"/>
        <w:sz w:val="20"/>
      </w:rPr>
    </w:lvl>
    <w:lvl w:ilvl="4">
      <w:start w:val="1"/>
      <w:numFmt w:val="bullet"/>
      <w:lvlText w:val=""/>
      <w:lvlJc w:val="left"/>
      <w:pPr>
        <w:tabs>
          <w:tab w:val="num" w:pos="8060"/>
        </w:tabs>
        <w:ind w:left="8060" w:hanging="360"/>
      </w:pPr>
      <w:rPr>
        <w:rFonts w:ascii="Symbol" w:hAnsi="Symbol" w:hint="default"/>
        <w:sz w:val="20"/>
      </w:rPr>
    </w:lvl>
    <w:lvl w:ilvl="5">
      <w:start w:val="1"/>
      <w:numFmt w:val="bullet"/>
      <w:lvlText w:val=""/>
      <w:lvlJc w:val="left"/>
      <w:pPr>
        <w:tabs>
          <w:tab w:val="num" w:pos="8780"/>
        </w:tabs>
        <w:ind w:left="8780" w:hanging="360"/>
      </w:pPr>
      <w:rPr>
        <w:rFonts w:ascii="Symbol" w:hAnsi="Symbol" w:hint="default"/>
        <w:sz w:val="20"/>
      </w:rPr>
    </w:lvl>
    <w:lvl w:ilvl="6">
      <w:start w:val="1"/>
      <w:numFmt w:val="bullet"/>
      <w:lvlText w:val=""/>
      <w:lvlJc w:val="left"/>
      <w:pPr>
        <w:tabs>
          <w:tab w:val="num" w:pos="9500"/>
        </w:tabs>
        <w:ind w:left="9500" w:hanging="360"/>
      </w:pPr>
      <w:rPr>
        <w:rFonts w:ascii="Symbol" w:hAnsi="Symbol" w:hint="default"/>
        <w:sz w:val="20"/>
      </w:rPr>
    </w:lvl>
    <w:lvl w:ilvl="7">
      <w:start w:val="1"/>
      <w:numFmt w:val="bullet"/>
      <w:lvlText w:val=""/>
      <w:lvlJc w:val="left"/>
      <w:pPr>
        <w:tabs>
          <w:tab w:val="num" w:pos="10220"/>
        </w:tabs>
        <w:ind w:left="10220" w:hanging="360"/>
      </w:pPr>
      <w:rPr>
        <w:rFonts w:ascii="Symbol" w:hAnsi="Symbol" w:hint="default"/>
        <w:sz w:val="20"/>
      </w:rPr>
    </w:lvl>
    <w:lvl w:ilvl="8">
      <w:start w:val="1"/>
      <w:numFmt w:val="bullet"/>
      <w:lvlText w:val=""/>
      <w:lvlJc w:val="left"/>
      <w:pPr>
        <w:tabs>
          <w:tab w:val="num" w:pos="10940"/>
        </w:tabs>
        <w:ind w:left="10940" w:hanging="360"/>
      </w:pPr>
      <w:rPr>
        <w:rFonts w:ascii="Symbol" w:hAnsi="Symbol"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39"/>
    <w:rsid w:val="00204E11"/>
    <w:rsid w:val="002739C6"/>
    <w:rsid w:val="002925FF"/>
    <w:rsid w:val="002A734C"/>
    <w:rsid w:val="00933981"/>
    <w:rsid w:val="00C24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51C3"/>
  <w15:chartTrackingRefBased/>
  <w15:docId w15:val="{09BA1703-2850-4AF0-AEDA-B5676B04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98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3981"/>
    <w:rPr>
      <w:color w:val="0000FF"/>
      <w:u w:val="single"/>
    </w:rPr>
  </w:style>
  <w:style w:type="paragraph" w:customStyle="1" w:styleId="m-8332360185985556624msolistparagraph">
    <w:name w:val="m_-8332360185985556624msolistparagraph"/>
    <w:basedOn w:val="Normal"/>
    <w:rsid w:val="00933981"/>
    <w:pPr>
      <w:spacing w:before="100" w:beforeAutospacing="1" w:after="100" w:afterAutospacing="1"/>
    </w:pPr>
  </w:style>
  <w:style w:type="table" w:styleId="TableGrid">
    <w:name w:val="Table Grid"/>
    <w:basedOn w:val="TableNormal"/>
    <w:uiPriority w:val="39"/>
    <w:rsid w:val="0093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47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an.Ellis@birmingham.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en.Cheney@birmingham.gov.uk" TargetMode="External"/><Relationship Id="rId5" Type="http://schemas.openxmlformats.org/officeDocument/2006/relationships/hyperlink" Target="mailto:Karen.Cheney@birmingham.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Kreft</dc:creator>
  <cp:keywords/>
  <dc:description/>
  <cp:lastModifiedBy>Marie Kreft</cp:lastModifiedBy>
  <cp:revision>4</cp:revision>
  <dcterms:created xsi:type="dcterms:W3CDTF">2020-02-29T17:19:00Z</dcterms:created>
  <dcterms:modified xsi:type="dcterms:W3CDTF">2020-03-01T08:25:00Z</dcterms:modified>
</cp:coreProperties>
</file>